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6C6" w:rsidRDefault="00D7503E">
      <w:pPr>
        <w:rPr>
          <w:sz w:val="18"/>
          <w:szCs w:val="18"/>
        </w:rPr>
      </w:pPr>
      <w:r>
        <w:rPr>
          <w:rFonts w:ascii="Century Gothic" w:hAnsi="Century Gothic"/>
          <w:sz w:val="18"/>
          <w:szCs w:val="18"/>
        </w:rPr>
        <w:t>Published in The Knowing Field: International Constellations Journal, issue 25, January 2015</w:t>
      </w:r>
    </w:p>
    <w:p w:rsidR="009776C6" w:rsidRDefault="009776C6">
      <w:pPr>
        <w:rPr>
          <w:rFonts w:ascii="Century Gothic" w:hAnsi="Century Gothic"/>
          <w:b/>
          <w:sz w:val="22"/>
          <w:szCs w:val="22"/>
        </w:rPr>
      </w:pPr>
    </w:p>
    <w:p w:rsidR="009776C6" w:rsidRDefault="009776C6">
      <w:pPr>
        <w:rPr>
          <w:rFonts w:ascii="Century Gothic" w:hAnsi="Century Gothic"/>
          <w:b/>
          <w:sz w:val="22"/>
          <w:szCs w:val="22"/>
        </w:rPr>
      </w:pPr>
    </w:p>
    <w:p w:rsidR="009776C6" w:rsidRDefault="00D7503E">
      <w:pPr>
        <w:rPr>
          <w:rFonts w:ascii="Century Gothic" w:hAnsi="Century Gothic"/>
          <w:b/>
          <w:sz w:val="22"/>
          <w:szCs w:val="22"/>
        </w:rPr>
      </w:pPr>
      <w:r>
        <w:rPr>
          <w:rFonts w:ascii="Century Gothic" w:hAnsi="Century Gothic"/>
          <w:b/>
          <w:sz w:val="22"/>
          <w:szCs w:val="22"/>
        </w:rPr>
        <w:t>The Dance of Life</w:t>
      </w:r>
    </w:p>
    <w:p w:rsidR="009776C6" w:rsidRDefault="009776C6">
      <w:pPr>
        <w:rPr>
          <w:rFonts w:ascii="Century Gothic" w:hAnsi="Century Gothic"/>
          <w:sz w:val="22"/>
          <w:szCs w:val="22"/>
        </w:rPr>
      </w:pPr>
    </w:p>
    <w:p w:rsidR="009776C6" w:rsidRDefault="00D7503E">
      <w:pPr>
        <w:rPr>
          <w:rFonts w:ascii="Century Gothic" w:hAnsi="Century Gothic"/>
          <w:b/>
          <w:sz w:val="24"/>
          <w:szCs w:val="24"/>
        </w:rPr>
      </w:pPr>
      <w:r>
        <w:rPr>
          <w:rFonts w:ascii="Century Gothic" w:hAnsi="Century Gothic"/>
          <w:b/>
          <w:sz w:val="24"/>
          <w:szCs w:val="24"/>
        </w:rPr>
        <w:t xml:space="preserve">Book Review </w:t>
      </w:r>
    </w:p>
    <w:p w:rsidR="009776C6" w:rsidRDefault="009776C6">
      <w:pPr>
        <w:rPr>
          <w:rFonts w:ascii="Century Gothic" w:hAnsi="Century Gothic"/>
          <w:sz w:val="22"/>
          <w:szCs w:val="22"/>
        </w:rPr>
      </w:pPr>
    </w:p>
    <w:p w:rsidR="009776C6" w:rsidRDefault="00D7503E">
      <w:pPr>
        <w:rPr>
          <w:rFonts w:ascii="Century Gothic" w:hAnsi="Century Gothic"/>
          <w:sz w:val="18"/>
          <w:szCs w:val="18"/>
        </w:rPr>
      </w:pPr>
      <w:r>
        <w:rPr>
          <w:rFonts w:ascii="Century Gothic" w:hAnsi="Century Gothic"/>
          <w:sz w:val="18"/>
          <w:szCs w:val="18"/>
        </w:rPr>
        <w:t>Jen Altman</w:t>
      </w:r>
    </w:p>
    <w:p w:rsidR="009776C6" w:rsidRDefault="009776C6">
      <w:pPr>
        <w:rPr>
          <w:rFonts w:ascii="Century Gothic" w:hAnsi="Century Gothic"/>
          <w:sz w:val="18"/>
          <w:szCs w:val="18"/>
        </w:rPr>
      </w:pPr>
    </w:p>
    <w:p w:rsidR="009776C6" w:rsidRDefault="009776C6">
      <w:pPr>
        <w:rPr>
          <w:rFonts w:ascii="Century Gothic" w:hAnsi="Century Gothic"/>
          <w:sz w:val="18"/>
          <w:szCs w:val="18"/>
        </w:rPr>
      </w:pPr>
    </w:p>
    <w:p w:rsidR="009776C6" w:rsidRDefault="00D7503E">
      <w:pPr>
        <w:rPr>
          <w:rFonts w:ascii="Century Gothic" w:hAnsi="Century Gothic"/>
          <w:b/>
          <w:sz w:val="22"/>
          <w:szCs w:val="22"/>
        </w:rPr>
      </w:pPr>
      <w:r>
        <w:rPr>
          <w:rFonts w:ascii="Century Gothic" w:hAnsi="Century Gothic"/>
          <w:b/>
          <w:sz w:val="22"/>
          <w:szCs w:val="22"/>
        </w:rPr>
        <w:t xml:space="preserve">Embodied Lives: Reflections on the Influence of </w:t>
      </w:r>
      <w:proofErr w:type="spellStart"/>
      <w:r>
        <w:rPr>
          <w:rFonts w:ascii="Century Gothic" w:hAnsi="Century Gothic"/>
          <w:b/>
          <w:sz w:val="22"/>
          <w:szCs w:val="22"/>
        </w:rPr>
        <w:t>Suprapto</w:t>
      </w:r>
      <w:proofErr w:type="spellEnd"/>
      <w:r>
        <w:rPr>
          <w:rFonts w:ascii="Century Gothic" w:hAnsi="Century Gothic"/>
          <w:b/>
          <w:sz w:val="22"/>
          <w:szCs w:val="22"/>
        </w:rPr>
        <w:t xml:space="preserve"> </w:t>
      </w:r>
      <w:proofErr w:type="spellStart"/>
      <w:r>
        <w:rPr>
          <w:rFonts w:ascii="Century Gothic" w:hAnsi="Century Gothic"/>
          <w:b/>
          <w:sz w:val="22"/>
          <w:szCs w:val="22"/>
        </w:rPr>
        <w:t>Suryodarmo</w:t>
      </w:r>
      <w:proofErr w:type="spellEnd"/>
      <w:r>
        <w:rPr>
          <w:rFonts w:ascii="Century Gothic" w:hAnsi="Century Gothic"/>
          <w:b/>
          <w:sz w:val="22"/>
          <w:szCs w:val="22"/>
        </w:rPr>
        <w:t xml:space="preserve"> and </w:t>
      </w:r>
      <w:proofErr w:type="spellStart"/>
      <w:r>
        <w:rPr>
          <w:rFonts w:ascii="Century Gothic" w:hAnsi="Century Gothic"/>
          <w:b/>
          <w:sz w:val="22"/>
          <w:szCs w:val="22"/>
        </w:rPr>
        <w:t>Amerta</w:t>
      </w:r>
      <w:proofErr w:type="spellEnd"/>
      <w:r>
        <w:rPr>
          <w:rFonts w:ascii="Century Gothic" w:hAnsi="Century Gothic"/>
          <w:b/>
          <w:sz w:val="22"/>
          <w:szCs w:val="22"/>
        </w:rPr>
        <w:t xml:space="preserve"> Movement</w:t>
      </w:r>
    </w:p>
    <w:p w:rsidR="009776C6" w:rsidRDefault="00D7503E">
      <w:pPr>
        <w:rPr>
          <w:rFonts w:ascii="Century Gothic" w:hAnsi="Century Gothic"/>
          <w:sz w:val="22"/>
          <w:szCs w:val="22"/>
        </w:rPr>
      </w:pPr>
      <w:proofErr w:type="gramStart"/>
      <w:r>
        <w:rPr>
          <w:rFonts w:ascii="Century Gothic" w:hAnsi="Century Gothic"/>
          <w:sz w:val="22"/>
          <w:szCs w:val="22"/>
        </w:rPr>
        <w:t>edited</w:t>
      </w:r>
      <w:proofErr w:type="gramEnd"/>
      <w:r>
        <w:rPr>
          <w:rFonts w:ascii="Century Gothic" w:hAnsi="Century Gothic"/>
          <w:sz w:val="22"/>
          <w:szCs w:val="22"/>
        </w:rPr>
        <w:t xml:space="preserve"> by Katya Bloom, </w:t>
      </w:r>
      <w:r>
        <w:rPr>
          <w:rFonts w:ascii="Century Gothic" w:hAnsi="Century Gothic"/>
          <w:sz w:val="22"/>
          <w:szCs w:val="22"/>
        </w:rPr>
        <w:t xml:space="preserve">Margit </w:t>
      </w:r>
      <w:proofErr w:type="spellStart"/>
      <w:r>
        <w:rPr>
          <w:rFonts w:ascii="Century Gothic" w:hAnsi="Century Gothic"/>
          <w:sz w:val="22"/>
          <w:szCs w:val="22"/>
        </w:rPr>
        <w:t>Galanter</w:t>
      </w:r>
      <w:proofErr w:type="spellEnd"/>
      <w:r>
        <w:rPr>
          <w:rFonts w:ascii="Century Gothic" w:hAnsi="Century Gothic"/>
          <w:sz w:val="22"/>
          <w:szCs w:val="22"/>
        </w:rPr>
        <w:t xml:space="preserve"> and Sandra Reeve</w:t>
      </w:r>
    </w:p>
    <w:p w:rsidR="009776C6" w:rsidRDefault="009776C6">
      <w:pPr>
        <w:rPr>
          <w:rFonts w:ascii="Century Gothic" w:hAnsi="Century Gothic"/>
          <w:sz w:val="22"/>
          <w:szCs w:val="22"/>
        </w:rPr>
      </w:pPr>
    </w:p>
    <w:p w:rsidR="009776C6" w:rsidRDefault="00D7503E">
      <w:pPr>
        <w:rPr>
          <w:rFonts w:ascii="Century Gothic" w:hAnsi="Century Gothic"/>
          <w:sz w:val="18"/>
          <w:szCs w:val="18"/>
        </w:rPr>
      </w:pPr>
      <w:proofErr w:type="spellStart"/>
      <w:r>
        <w:rPr>
          <w:rFonts w:ascii="Century Gothic" w:hAnsi="Century Gothic"/>
          <w:sz w:val="18"/>
          <w:szCs w:val="18"/>
        </w:rPr>
        <w:t>Triarchy</w:t>
      </w:r>
      <w:proofErr w:type="spellEnd"/>
      <w:r>
        <w:rPr>
          <w:rFonts w:ascii="Century Gothic" w:hAnsi="Century Gothic"/>
          <w:sz w:val="18"/>
          <w:szCs w:val="18"/>
        </w:rPr>
        <w:t xml:space="preserve"> Press, </w:t>
      </w:r>
      <w:proofErr w:type="spellStart"/>
      <w:r>
        <w:rPr>
          <w:rFonts w:ascii="Century Gothic" w:hAnsi="Century Gothic"/>
          <w:sz w:val="18"/>
          <w:szCs w:val="18"/>
        </w:rPr>
        <w:t>Axminster</w:t>
      </w:r>
      <w:proofErr w:type="spellEnd"/>
      <w:r>
        <w:rPr>
          <w:rFonts w:ascii="Century Gothic" w:hAnsi="Century Gothic"/>
          <w:sz w:val="18"/>
          <w:szCs w:val="18"/>
        </w:rPr>
        <w:t xml:space="preserve">, Devon, UK, 2014 </w:t>
      </w:r>
    </w:p>
    <w:p w:rsidR="009776C6" w:rsidRDefault="00D7503E">
      <w:pPr>
        <w:rPr>
          <w:rFonts w:ascii="Century Gothic" w:hAnsi="Century Gothic"/>
          <w:sz w:val="18"/>
          <w:szCs w:val="18"/>
        </w:rPr>
      </w:pPr>
      <w:r>
        <w:rPr>
          <w:rFonts w:ascii="Century Gothic" w:hAnsi="Century Gothic"/>
          <w:sz w:val="18"/>
          <w:szCs w:val="18"/>
        </w:rPr>
        <w:t>ISBN 978-1-909470-32-3</w:t>
      </w:r>
    </w:p>
    <w:p w:rsidR="009776C6" w:rsidRDefault="00D7503E">
      <w:pPr>
        <w:rPr>
          <w:rFonts w:ascii="Century Gothic" w:hAnsi="Century Gothic"/>
          <w:sz w:val="18"/>
          <w:szCs w:val="18"/>
        </w:rPr>
      </w:pPr>
      <w:r>
        <w:rPr>
          <w:rFonts w:ascii="Century Gothic" w:hAnsi="Century Gothic"/>
          <w:sz w:val="18"/>
          <w:szCs w:val="18"/>
        </w:rPr>
        <w:t>www.triarchypress.net</w:t>
      </w:r>
    </w:p>
    <w:p w:rsidR="009776C6" w:rsidRDefault="009776C6">
      <w:pPr>
        <w:rPr>
          <w:rFonts w:ascii="Century Gothic" w:hAnsi="Century Gothic"/>
          <w:sz w:val="22"/>
          <w:szCs w:val="22"/>
        </w:rPr>
      </w:pPr>
    </w:p>
    <w:p w:rsidR="009776C6" w:rsidRDefault="00D7503E">
      <w:pPr>
        <w:jc w:val="left"/>
        <w:rPr>
          <w:rFonts w:ascii="Century Gothic" w:hAnsi="Century Gothic"/>
          <w:sz w:val="22"/>
          <w:szCs w:val="22"/>
        </w:rPr>
      </w:pPr>
      <w:r>
        <w:rPr>
          <w:rFonts w:ascii="Century Gothic" w:hAnsi="Century Gothic"/>
          <w:sz w:val="22"/>
          <w:szCs w:val="22"/>
        </w:rPr>
        <w:t>Two books that recently chanced to come into my hands resonate strongly for me with Constellation Work, although neither even mentio</w:t>
      </w:r>
      <w:r>
        <w:rPr>
          <w:rFonts w:ascii="Century Gothic" w:hAnsi="Century Gothic"/>
          <w:sz w:val="22"/>
          <w:szCs w:val="22"/>
        </w:rPr>
        <w:t xml:space="preserve">ns it. One, which I will discuss here, reflects on the practice of </w:t>
      </w:r>
      <w:proofErr w:type="spellStart"/>
      <w:r>
        <w:rPr>
          <w:rFonts w:ascii="Century Gothic" w:hAnsi="Century Gothic"/>
          <w:sz w:val="22"/>
          <w:szCs w:val="22"/>
        </w:rPr>
        <w:t>Amerta</w:t>
      </w:r>
      <w:proofErr w:type="spellEnd"/>
      <w:r>
        <w:rPr>
          <w:rFonts w:ascii="Century Gothic" w:hAnsi="Century Gothic"/>
          <w:sz w:val="22"/>
          <w:szCs w:val="22"/>
        </w:rPr>
        <w:t xml:space="preserve">, a form of movement that has been developing in Java (Indonesia) since the 1980s and is now quite wide-spread, if not widely known, in Europe. In the other, </w:t>
      </w:r>
      <w:r>
        <w:rPr>
          <w:rFonts w:ascii="Century Gothic" w:hAnsi="Century Gothic"/>
          <w:i/>
          <w:sz w:val="22"/>
          <w:szCs w:val="22"/>
        </w:rPr>
        <w:t>The Gift</w:t>
      </w:r>
      <w:r>
        <w:rPr>
          <w:rFonts w:ascii="Century Gothic" w:hAnsi="Century Gothic"/>
          <w:sz w:val="22"/>
          <w:szCs w:val="22"/>
        </w:rPr>
        <w:t xml:space="preserve">, by Lewis Hyde, </w:t>
      </w:r>
      <w:r>
        <w:rPr>
          <w:rFonts w:ascii="Century Gothic" w:hAnsi="Century Gothic"/>
          <w:sz w:val="22"/>
          <w:szCs w:val="22"/>
        </w:rPr>
        <w:t>an American polymath, delves into culture and creativity in relationship to commerce – I plan to write about this in the next issue of The Knowing Field. I feel that the insights and experience contained in both these books could contribute substantially t</w:t>
      </w:r>
      <w:r>
        <w:rPr>
          <w:rFonts w:ascii="Century Gothic" w:hAnsi="Century Gothic"/>
          <w:sz w:val="22"/>
          <w:szCs w:val="22"/>
        </w:rPr>
        <w:t>o our work.</w:t>
      </w:r>
    </w:p>
    <w:p w:rsidR="009776C6" w:rsidRDefault="009776C6">
      <w:pPr>
        <w:jc w:val="left"/>
        <w:rPr>
          <w:rFonts w:ascii="Century Gothic" w:hAnsi="Century Gothic"/>
          <w:sz w:val="22"/>
          <w:szCs w:val="22"/>
        </w:rPr>
      </w:pPr>
    </w:p>
    <w:p w:rsidR="009776C6" w:rsidRDefault="00D7503E">
      <w:pPr>
        <w:jc w:val="left"/>
        <w:rPr>
          <w:rFonts w:ascii="Century Gothic" w:hAnsi="Century Gothic"/>
          <w:sz w:val="22"/>
          <w:szCs w:val="22"/>
        </w:rPr>
      </w:pPr>
      <w:r>
        <w:rPr>
          <w:rFonts w:ascii="Century Gothic" w:hAnsi="Century Gothic"/>
          <w:i/>
          <w:sz w:val="22"/>
          <w:szCs w:val="22"/>
        </w:rPr>
        <w:t>Embodied Lives</w:t>
      </w:r>
      <w:r>
        <w:rPr>
          <w:rFonts w:ascii="Century Gothic" w:hAnsi="Century Gothic"/>
          <w:sz w:val="22"/>
          <w:szCs w:val="22"/>
        </w:rPr>
        <w:t xml:space="preserve"> is a collection of thirty articles written by people from many countries and various disciplines, reflecting on their own experiences of </w:t>
      </w:r>
      <w:proofErr w:type="spellStart"/>
      <w:r>
        <w:rPr>
          <w:rFonts w:ascii="Century Gothic" w:hAnsi="Century Gothic"/>
          <w:sz w:val="22"/>
          <w:szCs w:val="22"/>
        </w:rPr>
        <w:t>practising</w:t>
      </w:r>
      <w:proofErr w:type="spellEnd"/>
      <w:r>
        <w:rPr>
          <w:rFonts w:ascii="Century Gothic" w:hAnsi="Century Gothic"/>
          <w:sz w:val="22"/>
          <w:szCs w:val="22"/>
        </w:rPr>
        <w:t xml:space="preserve"> </w:t>
      </w:r>
      <w:proofErr w:type="spellStart"/>
      <w:r>
        <w:rPr>
          <w:rFonts w:ascii="Century Gothic" w:hAnsi="Century Gothic"/>
          <w:sz w:val="22"/>
          <w:szCs w:val="22"/>
        </w:rPr>
        <w:t>Amerta</w:t>
      </w:r>
      <w:proofErr w:type="spellEnd"/>
      <w:r>
        <w:rPr>
          <w:rFonts w:ascii="Century Gothic" w:hAnsi="Century Gothic"/>
          <w:sz w:val="22"/>
          <w:szCs w:val="22"/>
        </w:rPr>
        <w:t xml:space="preserve"> movement and its effect on their lives and work. </w:t>
      </w:r>
      <w:proofErr w:type="spellStart"/>
      <w:r>
        <w:rPr>
          <w:rFonts w:ascii="Century Gothic" w:hAnsi="Century Gothic"/>
          <w:sz w:val="22"/>
          <w:szCs w:val="22"/>
        </w:rPr>
        <w:t>Amerta</w:t>
      </w:r>
      <w:proofErr w:type="spellEnd"/>
      <w:r>
        <w:rPr>
          <w:rFonts w:ascii="Century Gothic" w:hAnsi="Century Gothic"/>
          <w:sz w:val="22"/>
          <w:szCs w:val="22"/>
        </w:rPr>
        <w:t>, which roughly tr</w:t>
      </w:r>
      <w:r>
        <w:rPr>
          <w:rFonts w:ascii="Century Gothic" w:hAnsi="Century Gothic"/>
          <w:sz w:val="22"/>
          <w:szCs w:val="22"/>
        </w:rPr>
        <w:t xml:space="preserve">anslates as ‘nectar of life’, was initiated by the Javanese </w:t>
      </w:r>
      <w:proofErr w:type="spellStart"/>
      <w:r>
        <w:rPr>
          <w:rFonts w:ascii="Century Gothic" w:hAnsi="Century Gothic"/>
          <w:sz w:val="22"/>
          <w:szCs w:val="22"/>
        </w:rPr>
        <w:t>Suprapto</w:t>
      </w:r>
      <w:proofErr w:type="spellEnd"/>
      <w:r>
        <w:rPr>
          <w:rFonts w:ascii="Century Gothic" w:hAnsi="Century Gothic"/>
          <w:sz w:val="22"/>
          <w:szCs w:val="22"/>
        </w:rPr>
        <w:t xml:space="preserve"> </w:t>
      </w:r>
      <w:proofErr w:type="spellStart"/>
      <w:r>
        <w:rPr>
          <w:rFonts w:ascii="Century Gothic" w:hAnsi="Century Gothic"/>
          <w:sz w:val="22"/>
          <w:szCs w:val="22"/>
        </w:rPr>
        <w:t>Suryodarmo</w:t>
      </w:r>
      <w:proofErr w:type="spellEnd"/>
      <w:r>
        <w:rPr>
          <w:rFonts w:ascii="Century Gothic" w:hAnsi="Century Gothic"/>
          <w:sz w:val="22"/>
          <w:szCs w:val="22"/>
        </w:rPr>
        <w:t xml:space="preserve"> (</w:t>
      </w:r>
      <w:proofErr w:type="spellStart"/>
      <w:r>
        <w:rPr>
          <w:rFonts w:ascii="Century Gothic" w:hAnsi="Century Gothic"/>
          <w:sz w:val="22"/>
          <w:szCs w:val="22"/>
        </w:rPr>
        <w:t>Prapto</w:t>
      </w:r>
      <w:proofErr w:type="spellEnd"/>
      <w:r>
        <w:rPr>
          <w:rFonts w:ascii="Century Gothic" w:hAnsi="Century Gothic"/>
          <w:sz w:val="22"/>
          <w:szCs w:val="22"/>
        </w:rPr>
        <w:t>) and other Indonesian movement artists. Unlike most other traditional and contemporary forms of movement, nothing is prescribed: all movements arise from attention to t</w:t>
      </w:r>
      <w:r>
        <w:rPr>
          <w:rFonts w:ascii="Century Gothic" w:hAnsi="Century Gothic"/>
          <w:sz w:val="22"/>
          <w:szCs w:val="22"/>
        </w:rPr>
        <w:t xml:space="preserve">he body's impulses, which in their turn are responses to both inner and outer conditions. By tuning into their sensations, perceptions, feelings and memories, practitioners use their bodies to relate to and express what they experience in the world around </w:t>
      </w:r>
      <w:r>
        <w:rPr>
          <w:rFonts w:ascii="Century Gothic" w:hAnsi="Century Gothic"/>
          <w:sz w:val="22"/>
          <w:szCs w:val="22"/>
        </w:rPr>
        <w:t xml:space="preserve">them – in the broadest, most inclusive sense, ranging from the elements of the physical world to plants, animals and people. Through this process, practitioners excavate, in </w:t>
      </w:r>
      <w:proofErr w:type="spellStart"/>
      <w:r>
        <w:rPr>
          <w:rFonts w:ascii="Century Gothic" w:hAnsi="Century Gothic"/>
          <w:sz w:val="22"/>
          <w:szCs w:val="22"/>
        </w:rPr>
        <w:t>Prapto’s</w:t>
      </w:r>
      <w:proofErr w:type="spellEnd"/>
      <w:r>
        <w:rPr>
          <w:rFonts w:ascii="Century Gothic" w:hAnsi="Century Gothic"/>
          <w:sz w:val="22"/>
          <w:szCs w:val="22"/>
        </w:rPr>
        <w:t xml:space="preserve"> words “skin by skin, layer by layer, to discover what is the story, the m</w:t>
      </w:r>
      <w:r>
        <w:rPr>
          <w:rFonts w:ascii="Century Gothic" w:hAnsi="Century Gothic"/>
          <w:sz w:val="22"/>
          <w:szCs w:val="22"/>
        </w:rPr>
        <w:t xml:space="preserve">otive, the source”. What emerges may “crystallize” into a performance through which this awareness is transmitted to other members of a work group or to an audience. </w:t>
      </w:r>
    </w:p>
    <w:p w:rsidR="009776C6" w:rsidRDefault="009776C6">
      <w:pPr>
        <w:jc w:val="left"/>
        <w:rPr>
          <w:rFonts w:ascii="Century Gothic" w:hAnsi="Century Gothic"/>
          <w:sz w:val="22"/>
          <w:szCs w:val="22"/>
        </w:rPr>
      </w:pPr>
    </w:p>
    <w:p w:rsidR="009776C6" w:rsidRDefault="00D7503E">
      <w:pPr>
        <w:jc w:val="left"/>
        <w:rPr>
          <w:rFonts w:ascii="Century Gothic" w:hAnsi="Century Gothic"/>
          <w:sz w:val="22"/>
          <w:szCs w:val="22"/>
        </w:rPr>
      </w:pPr>
      <w:r>
        <w:rPr>
          <w:rFonts w:ascii="Century Gothic" w:hAnsi="Century Gothic"/>
          <w:sz w:val="22"/>
          <w:szCs w:val="22"/>
        </w:rPr>
        <w:t xml:space="preserve">Already, I hope, you are picking up a familiar scent! I see </w:t>
      </w:r>
      <w:proofErr w:type="spellStart"/>
      <w:r>
        <w:rPr>
          <w:rFonts w:ascii="Century Gothic" w:hAnsi="Century Gothic"/>
          <w:sz w:val="22"/>
          <w:szCs w:val="22"/>
        </w:rPr>
        <w:t>Amerta</w:t>
      </w:r>
      <w:proofErr w:type="spellEnd"/>
      <w:r>
        <w:rPr>
          <w:rFonts w:ascii="Century Gothic" w:hAnsi="Century Gothic"/>
          <w:sz w:val="22"/>
          <w:szCs w:val="22"/>
        </w:rPr>
        <w:t xml:space="preserve"> as encouraging the de</w:t>
      </w:r>
      <w:r>
        <w:rPr>
          <w:rFonts w:ascii="Century Gothic" w:hAnsi="Century Gothic"/>
          <w:sz w:val="22"/>
          <w:szCs w:val="22"/>
        </w:rPr>
        <w:t>velopment and refinement of just those skills we need when facilitating constellations. I have to declare an interest here: in the mid-90s, before I'd even heard of Constellation Work, I was practicing this form of movement and once even had the opportunit</w:t>
      </w:r>
      <w:r>
        <w:rPr>
          <w:rFonts w:ascii="Century Gothic" w:hAnsi="Century Gothic"/>
          <w:sz w:val="22"/>
          <w:szCs w:val="22"/>
        </w:rPr>
        <w:t xml:space="preserve">y to move with </w:t>
      </w:r>
      <w:proofErr w:type="spellStart"/>
      <w:r>
        <w:rPr>
          <w:rFonts w:ascii="Century Gothic" w:hAnsi="Century Gothic"/>
          <w:sz w:val="22"/>
          <w:szCs w:val="22"/>
        </w:rPr>
        <w:t>Prapto</w:t>
      </w:r>
      <w:proofErr w:type="spellEnd"/>
      <w:r>
        <w:rPr>
          <w:rFonts w:ascii="Century Gothic" w:hAnsi="Century Gothic"/>
          <w:sz w:val="22"/>
          <w:szCs w:val="22"/>
        </w:rPr>
        <w:t>, an unforgettable experience! Although changing circumstances led me in other directions, what I learned in those years has stayed with me and continues to inform my healing and constellation work.</w:t>
      </w:r>
    </w:p>
    <w:p w:rsidR="009776C6" w:rsidRDefault="009776C6">
      <w:pPr>
        <w:jc w:val="left"/>
        <w:rPr>
          <w:rFonts w:ascii="Century Gothic" w:hAnsi="Century Gothic"/>
          <w:sz w:val="22"/>
          <w:szCs w:val="22"/>
        </w:rPr>
      </w:pPr>
    </w:p>
    <w:p w:rsidR="009776C6" w:rsidRDefault="00D7503E">
      <w:pPr>
        <w:jc w:val="left"/>
        <w:rPr>
          <w:rFonts w:ascii="Century Gothic" w:hAnsi="Century Gothic"/>
          <w:sz w:val="22"/>
          <w:szCs w:val="22"/>
        </w:rPr>
      </w:pPr>
      <w:r>
        <w:rPr>
          <w:rFonts w:ascii="Century Gothic" w:hAnsi="Century Gothic"/>
          <w:sz w:val="22"/>
          <w:szCs w:val="22"/>
        </w:rPr>
        <w:t>One thing that stands out for me is</w:t>
      </w:r>
      <w:r>
        <w:rPr>
          <w:rFonts w:ascii="Century Gothic" w:hAnsi="Century Gothic"/>
          <w:sz w:val="22"/>
          <w:szCs w:val="22"/>
        </w:rPr>
        <w:t xml:space="preserve"> the practice that </w:t>
      </w:r>
      <w:proofErr w:type="spellStart"/>
      <w:r>
        <w:rPr>
          <w:rFonts w:ascii="Century Gothic" w:hAnsi="Century Gothic"/>
          <w:sz w:val="22"/>
          <w:szCs w:val="22"/>
        </w:rPr>
        <w:t>Amerta</w:t>
      </w:r>
      <w:proofErr w:type="spellEnd"/>
      <w:r>
        <w:rPr>
          <w:rFonts w:ascii="Century Gothic" w:hAnsi="Century Gothic"/>
          <w:sz w:val="22"/>
          <w:szCs w:val="22"/>
        </w:rPr>
        <w:t xml:space="preserve"> shares with Constellation Work of bowing. When I first encountered bowing in this </w:t>
      </w:r>
      <w:r>
        <w:rPr>
          <w:rFonts w:ascii="Century Gothic" w:hAnsi="Century Gothic"/>
          <w:sz w:val="22"/>
          <w:szCs w:val="22"/>
        </w:rPr>
        <w:lastRenderedPageBreak/>
        <w:t xml:space="preserve">movement work, I resisted it – it felt unnatural, even demeaning – but slowly I came to understand it as an expression of gratitude and acceptance, </w:t>
      </w:r>
      <w:r>
        <w:rPr>
          <w:rFonts w:ascii="Century Gothic" w:hAnsi="Century Gothic"/>
          <w:sz w:val="22"/>
          <w:szCs w:val="22"/>
        </w:rPr>
        <w:t xml:space="preserve">of being part of something greater than myself. So when I first attended constellation workshops, seeing clients being asked to bow to their families made complete sense and encouraged me to bring other elements of my movement experience into my work with </w:t>
      </w:r>
      <w:r>
        <w:rPr>
          <w:rFonts w:ascii="Century Gothic" w:hAnsi="Century Gothic"/>
          <w:sz w:val="22"/>
          <w:szCs w:val="22"/>
        </w:rPr>
        <w:t xml:space="preserve">constellations.   </w:t>
      </w:r>
    </w:p>
    <w:p w:rsidR="009776C6" w:rsidRDefault="009776C6">
      <w:pPr>
        <w:jc w:val="left"/>
        <w:rPr>
          <w:rFonts w:ascii="Century Gothic" w:hAnsi="Century Gothic"/>
          <w:sz w:val="22"/>
          <w:szCs w:val="22"/>
        </w:rPr>
      </w:pPr>
    </w:p>
    <w:p w:rsidR="009776C6" w:rsidRDefault="00D7503E">
      <w:pPr>
        <w:jc w:val="left"/>
        <w:rPr>
          <w:rFonts w:ascii="Century Gothic" w:hAnsi="Century Gothic"/>
          <w:sz w:val="22"/>
          <w:szCs w:val="22"/>
        </w:rPr>
      </w:pPr>
      <w:proofErr w:type="spellStart"/>
      <w:r>
        <w:rPr>
          <w:rFonts w:ascii="Century Gothic" w:hAnsi="Century Gothic"/>
          <w:sz w:val="22"/>
          <w:szCs w:val="22"/>
        </w:rPr>
        <w:t>Amerta</w:t>
      </w:r>
      <w:proofErr w:type="spellEnd"/>
      <w:r>
        <w:rPr>
          <w:rFonts w:ascii="Century Gothic" w:hAnsi="Century Gothic"/>
          <w:sz w:val="22"/>
          <w:szCs w:val="22"/>
        </w:rPr>
        <w:t xml:space="preserve"> has its roots in Buddhist practice, in the movements of children and of the natural world, in the Javanese meditation practice of letting go or surrender (</w:t>
      </w:r>
      <w:proofErr w:type="spellStart"/>
      <w:r>
        <w:rPr>
          <w:rFonts w:ascii="Century Gothic" w:hAnsi="Century Gothic"/>
          <w:sz w:val="22"/>
          <w:szCs w:val="22"/>
        </w:rPr>
        <w:t>Sumarah</w:t>
      </w:r>
      <w:proofErr w:type="spellEnd"/>
      <w:r>
        <w:rPr>
          <w:rFonts w:ascii="Century Gothic" w:hAnsi="Century Gothic"/>
          <w:sz w:val="22"/>
          <w:szCs w:val="22"/>
        </w:rPr>
        <w:t>) and in Javanese mysticism. These traditional aspects marry with c</w:t>
      </w:r>
      <w:r>
        <w:rPr>
          <w:rFonts w:ascii="Century Gothic" w:hAnsi="Century Gothic"/>
          <w:sz w:val="22"/>
          <w:szCs w:val="22"/>
        </w:rPr>
        <w:t xml:space="preserve">ontemporary movement practices coming from </w:t>
      </w:r>
      <w:proofErr w:type="spellStart"/>
      <w:r>
        <w:rPr>
          <w:rFonts w:ascii="Century Gothic" w:hAnsi="Century Gothic"/>
          <w:sz w:val="22"/>
          <w:szCs w:val="22"/>
        </w:rPr>
        <w:t>Prapto’s</w:t>
      </w:r>
      <w:proofErr w:type="spellEnd"/>
      <w:r>
        <w:rPr>
          <w:rFonts w:ascii="Century Gothic" w:hAnsi="Century Gothic"/>
          <w:sz w:val="22"/>
          <w:szCs w:val="22"/>
        </w:rPr>
        <w:t xml:space="preserve"> interactions with Western movement practitioners, both through their visits to Java and his to Europe, which have contributed to a rich cultural mix. </w:t>
      </w:r>
      <w:proofErr w:type="spellStart"/>
      <w:r>
        <w:rPr>
          <w:rFonts w:ascii="Century Gothic" w:hAnsi="Century Gothic"/>
          <w:sz w:val="22"/>
          <w:szCs w:val="22"/>
        </w:rPr>
        <w:t>Amerta</w:t>
      </w:r>
      <w:proofErr w:type="spellEnd"/>
      <w:r>
        <w:rPr>
          <w:rFonts w:ascii="Century Gothic" w:hAnsi="Century Gothic"/>
          <w:sz w:val="22"/>
          <w:szCs w:val="22"/>
        </w:rPr>
        <w:t xml:space="preserve"> is a dynamic practice, expressing the Buddhist </w:t>
      </w:r>
      <w:r>
        <w:rPr>
          <w:rFonts w:ascii="Century Gothic" w:hAnsi="Century Gothic"/>
          <w:sz w:val="22"/>
          <w:szCs w:val="22"/>
        </w:rPr>
        <w:t xml:space="preserve">principle that the only constant in life is change: “from the Buddha walking, rather than from the Buddha sitting”, as </w:t>
      </w:r>
      <w:proofErr w:type="spellStart"/>
      <w:r>
        <w:rPr>
          <w:rFonts w:ascii="Century Gothic" w:hAnsi="Century Gothic"/>
          <w:sz w:val="22"/>
          <w:szCs w:val="22"/>
        </w:rPr>
        <w:t>Prapto</w:t>
      </w:r>
      <w:proofErr w:type="spellEnd"/>
      <w:r>
        <w:rPr>
          <w:rFonts w:ascii="Century Gothic" w:hAnsi="Century Gothic"/>
          <w:sz w:val="22"/>
          <w:szCs w:val="22"/>
        </w:rPr>
        <w:t xml:space="preserve"> puts it. Movement is seen as a tool for investigation and discovery, each person developing their own approach through dialogue wi</w:t>
      </w:r>
      <w:r>
        <w:rPr>
          <w:rFonts w:ascii="Century Gothic" w:hAnsi="Century Gothic"/>
          <w:sz w:val="22"/>
          <w:szCs w:val="22"/>
        </w:rPr>
        <w:t xml:space="preserve">th their own traditions and sharing experience with colleagues. The work is transmitted not through conventional teacher–student training but by ‘dialoguers’, whom </w:t>
      </w:r>
      <w:proofErr w:type="spellStart"/>
      <w:r>
        <w:rPr>
          <w:rFonts w:ascii="Century Gothic" w:hAnsi="Century Gothic"/>
          <w:sz w:val="22"/>
          <w:szCs w:val="22"/>
        </w:rPr>
        <w:t>Prapto</w:t>
      </w:r>
      <w:proofErr w:type="spellEnd"/>
      <w:r>
        <w:rPr>
          <w:rFonts w:ascii="Century Gothic" w:hAnsi="Century Gothic"/>
          <w:sz w:val="22"/>
          <w:szCs w:val="22"/>
        </w:rPr>
        <w:t xml:space="preserve"> encourages to be ‘gardeners’, tending to what each individual needs to grow and bloss</w:t>
      </w:r>
      <w:r>
        <w:rPr>
          <w:rFonts w:ascii="Century Gothic" w:hAnsi="Century Gothic"/>
          <w:sz w:val="22"/>
          <w:szCs w:val="22"/>
        </w:rPr>
        <w:t xml:space="preserve">om, as gardeners do with their plants – a concept that I feel could fit well with how we learn to facilitate constellations.       </w:t>
      </w:r>
    </w:p>
    <w:p w:rsidR="009776C6" w:rsidRDefault="009776C6">
      <w:pPr>
        <w:jc w:val="left"/>
        <w:rPr>
          <w:rFonts w:ascii="Century Gothic" w:hAnsi="Century Gothic"/>
          <w:sz w:val="22"/>
          <w:szCs w:val="22"/>
        </w:rPr>
      </w:pPr>
    </w:p>
    <w:p w:rsidR="009776C6" w:rsidRDefault="00D7503E">
      <w:pPr>
        <w:jc w:val="left"/>
        <w:rPr>
          <w:rFonts w:ascii="Century Gothic" w:hAnsi="Century Gothic"/>
          <w:sz w:val="22"/>
          <w:szCs w:val="22"/>
        </w:rPr>
      </w:pPr>
      <w:r>
        <w:rPr>
          <w:rFonts w:ascii="Century Gothic" w:hAnsi="Century Gothic"/>
          <w:sz w:val="22"/>
          <w:szCs w:val="22"/>
        </w:rPr>
        <w:t xml:space="preserve">By no means all the contributors to </w:t>
      </w:r>
      <w:r>
        <w:rPr>
          <w:rFonts w:ascii="Century Gothic" w:hAnsi="Century Gothic"/>
          <w:i/>
          <w:sz w:val="22"/>
          <w:szCs w:val="22"/>
        </w:rPr>
        <w:t xml:space="preserve">Embodied Lives </w:t>
      </w:r>
      <w:r>
        <w:rPr>
          <w:rFonts w:ascii="Century Gothic" w:hAnsi="Century Gothic"/>
          <w:sz w:val="22"/>
          <w:szCs w:val="22"/>
        </w:rPr>
        <w:t>are performers. Several explore the ways in which the work helps them as</w:t>
      </w:r>
      <w:r>
        <w:rPr>
          <w:rFonts w:ascii="Century Gothic" w:hAnsi="Century Gothic"/>
          <w:sz w:val="22"/>
          <w:szCs w:val="22"/>
        </w:rPr>
        <w:t xml:space="preserve"> therapists, while others discuss its application to their work as film-maker, musician and visual artist. Keith Miller, an archaeologist, describes using </w:t>
      </w:r>
      <w:proofErr w:type="spellStart"/>
      <w:r>
        <w:rPr>
          <w:rFonts w:ascii="Century Gothic" w:hAnsi="Century Gothic"/>
          <w:sz w:val="22"/>
          <w:szCs w:val="22"/>
        </w:rPr>
        <w:t>Amerta</w:t>
      </w:r>
      <w:proofErr w:type="spellEnd"/>
      <w:r>
        <w:rPr>
          <w:rFonts w:ascii="Century Gothic" w:hAnsi="Century Gothic"/>
          <w:sz w:val="22"/>
          <w:szCs w:val="22"/>
        </w:rPr>
        <w:t xml:space="preserve"> to enhance his scientific work at ancient sites such as </w:t>
      </w:r>
      <w:proofErr w:type="spellStart"/>
      <w:r>
        <w:rPr>
          <w:rFonts w:ascii="Century Gothic" w:hAnsi="Century Gothic"/>
          <w:sz w:val="22"/>
          <w:szCs w:val="22"/>
        </w:rPr>
        <w:t>Avebury</w:t>
      </w:r>
      <w:proofErr w:type="spellEnd"/>
      <w:r>
        <w:rPr>
          <w:rStyle w:val="EndnoteAnchor"/>
          <w:rFonts w:ascii="Century Gothic" w:hAnsi="Century Gothic"/>
          <w:sz w:val="22"/>
          <w:szCs w:val="22"/>
        </w:rPr>
        <w:endnoteReference w:id="1"/>
      </w:r>
      <w:r>
        <w:rPr>
          <w:rFonts w:ascii="Century Gothic" w:hAnsi="Century Gothic"/>
          <w:sz w:val="22"/>
          <w:szCs w:val="22"/>
        </w:rPr>
        <w:t>; and a lawyer who is an admin</w:t>
      </w:r>
      <w:r>
        <w:rPr>
          <w:rFonts w:ascii="Century Gothic" w:hAnsi="Century Gothic"/>
          <w:sz w:val="22"/>
          <w:szCs w:val="22"/>
        </w:rPr>
        <w:t xml:space="preserve">istrator in the Royal Courts of Justice in London looks at how his movement practice has deepened his understanding of the law. Two write about how their </w:t>
      </w:r>
      <w:proofErr w:type="spellStart"/>
      <w:r>
        <w:rPr>
          <w:rFonts w:ascii="Century Gothic" w:hAnsi="Century Gothic"/>
          <w:sz w:val="22"/>
          <w:szCs w:val="22"/>
        </w:rPr>
        <w:t>Amerta</w:t>
      </w:r>
      <w:proofErr w:type="spellEnd"/>
      <w:r>
        <w:rPr>
          <w:rFonts w:ascii="Century Gothic" w:hAnsi="Century Gothic"/>
          <w:sz w:val="22"/>
          <w:szCs w:val="22"/>
        </w:rPr>
        <w:t xml:space="preserve"> practice strengthens their relationships with disturbed children, Katya Bloom on working with s</w:t>
      </w:r>
      <w:r>
        <w:rPr>
          <w:rFonts w:ascii="Century Gothic" w:hAnsi="Century Gothic"/>
          <w:sz w:val="22"/>
          <w:szCs w:val="22"/>
        </w:rPr>
        <w:t xml:space="preserve">ick babies, and Sean Williams with older children on the autistic spectrum. Applying </w:t>
      </w:r>
      <w:proofErr w:type="spellStart"/>
      <w:r>
        <w:rPr>
          <w:rFonts w:ascii="Century Gothic" w:hAnsi="Century Gothic"/>
          <w:sz w:val="22"/>
          <w:szCs w:val="22"/>
        </w:rPr>
        <w:t>Prapto’s</w:t>
      </w:r>
      <w:proofErr w:type="spellEnd"/>
      <w:r>
        <w:rPr>
          <w:rFonts w:ascii="Century Gothic" w:hAnsi="Century Gothic"/>
          <w:sz w:val="22"/>
          <w:szCs w:val="22"/>
        </w:rPr>
        <w:t xml:space="preserve"> understanding of family as a dynamic system, a source of regeneration and a place to </w:t>
      </w:r>
      <w:proofErr w:type="spellStart"/>
      <w:r>
        <w:rPr>
          <w:rFonts w:ascii="Century Gothic" w:hAnsi="Century Gothic"/>
          <w:sz w:val="22"/>
          <w:szCs w:val="22"/>
        </w:rPr>
        <w:t>practise</w:t>
      </w:r>
      <w:proofErr w:type="spellEnd"/>
      <w:r>
        <w:rPr>
          <w:rFonts w:ascii="Century Gothic" w:hAnsi="Century Gothic"/>
          <w:sz w:val="22"/>
          <w:szCs w:val="22"/>
        </w:rPr>
        <w:t xml:space="preserve"> “the art of everyday living and being” to her own young family, </w:t>
      </w:r>
      <w:proofErr w:type="spellStart"/>
      <w:r>
        <w:rPr>
          <w:rFonts w:ascii="Century Gothic" w:hAnsi="Century Gothic"/>
          <w:sz w:val="22"/>
          <w:szCs w:val="22"/>
        </w:rPr>
        <w:t>Una</w:t>
      </w:r>
      <w:proofErr w:type="spellEnd"/>
      <w:r>
        <w:rPr>
          <w:rFonts w:ascii="Century Gothic" w:hAnsi="Century Gothic"/>
          <w:sz w:val="22"/>
          <w:szCs w:val="22"/>
        </w:rPr>
        <w:t xml:space="preserve"> </w:t>
      </w:r>
      <w:r>
        <w:rPr>
          <w:rFonts w:ascii="Century Gothic" w:hAnsi="Century Gothic"/>
          <w:sz w:val="22"/>
          <w:szCs w:val="22"/>
        </w:rPr>
        <w:t xml:space="preserve">Nicholson discovers “a field in which we are deeply connected and where things get done easily and collaboratively. Without sacrificing anything, the individual and the family can flourish”.  </w:t>
      </w:r>
    </w:p>
    <w:p w:rsidR="009776C6" w:rsidRDefault="009776C6">
      <w:pPr>
        <w:jc w:val="left"/>
        <w:rPr>
          <w:rFonts w:ascii="Century Gothic" w:hAnsi="Century Gothic"/>
          <w:sz w:val="22"/>
          <w:szCs w:val="22"/>
        </w:rPr>
      </w:pPr>
    </w:p>
    <w:p w:rsidR="009776C6" w:rsidRDefault="00D7503E">
      <w:pPr>
        <w:jc w:val="left"/>
        <w:rPr>
          <w:rFonts w:ascii="Century Gothic" w:hAnsi="Century Gothic"/>
          <w:sz w:val="22"/>
          <w:szCs w:val="22"/>
        </w:rPr>
      </w:pPr>
      <w:r>
        <w:rPr>
          <w:rFonts w:ascii="Century Gothic" w:hAnsi="Century Gothic"/>
          <w:sz w:val="22"/>
          <w:szCs w:val="22"/>
        </w:rPr>
        <w:t xml:space="preserve">But </w:t>
      </w:r>
      <w:bookmarkStart w:id="0" w:name="_GoBack"/>
      <w:r>
        <w:rPr>
          <w:rFonts w:ascii="Century Gothic" w:hAnsi="Century Gothic"/>
          <w:sz w:val="22"/>
          <w:szCs w:val="22"/>
        </w:rPr>
        <w:t xml:space="preserve">the richness of the book for me lies not so much in the individual chapters, inspiring though these are, as in the themes that recur, running like bright </w:t>
      </w:r>
      <w:proofErr w:type="spellStart"/>
      <w:r>
        <w:rPr>
          <w:rFonts w:ascii="Century Gothic" w:hAnsi="Century Gothic"/>
          <w:sz w:val="22"/>
          <w:szCs w:val="22"/>
        </w:rPr>
        <w:t>flavours</w:t>
      </w:r>
      <w:proofErr w:type="spellEnd"/>
      <w:r>
        <w:rPr>
          <w:rFonts w:ascii="Century Gothic" w:hAnsi="Century Gothic"/>
          <w:sz w:val="22"/>
          <w:szCs w:val="22"/>
        </w:rPr>
        <w:t xml:space="preserve"> through a meal. One is the way that the lives of many of the authors have been influenced</w:t>
      </w:r>
      <w:r>
        <w:rPr>
          <w:rFonts w:ascii="Century Gothic" w:hAnsi="Century Gothic"/>
          <w:sz w:val="22"/>
          <w:szCs w:val="22"/>
        </w:rPr>
        <w:t xml:space="preserve"> not only by working with </w:t>
      </w:r>
      <w:proofErr w:type="spellStart"/>
      <w:r>
        <w:rPr>
          <w:rFonts w:ascii="Century Gothic" w:hAnsi="Century Gothic"/>
          <w:sz w:val="22"/>
          <w:szCs w:val="22"/>
        </w:rPr>
        <w:t>Prapto</w:t>
      </w:r>
      <w:proofErr w:type="spellEnd"/>
      <w:r>
        <w:rPr>
          <w:rFonts w:ascii="Century Gothic" w:hAnsi="Century Gothic"/>
          <w:sz w:val="22"/>
          <w:szCs w:val="22"/>
        </w:rPr>
        <w:t xml:space="preserve">, but also by their exposure to the very different culture in Java: the experience and the challenge of living with people who have another relationship to time and space and a very refined sense of atmospheres. Christina </w:t>
      </w:r>
      <w:proofErr w:type="spellStart"/>
      <w:r>
        <w:rPr>
          <w:rFonts w:ascii="Century Gothic" w:hAnsi="Century Gothic"/>
          <w:sz w:val="22"/>
          <w:szCs w:val="22"/>
        </w:rPr>
        <w:t>St</w:t>
      </w:r>
      <w:r>
        <w:rPr>
          <w:rFonts w:ascii="Century Gothic" w:hAnsi="Century Gothic"/>
          <w:sz w:val="22"/>
          <w:szCs w:val="22"/>
        </w:rPr>
        <w:t>elzer</w:t>
      </w:r>
      <w:proofErr w:type="spellEnd"/>
      <w:r>
        <w:rPr>
          <w:rFonts w:ascii="Century Gothic" w:hAnsi="Century Gothic"/>
          <w:sz w:val="22"/>
          <w:szCs w:val="22"/>
        </w:rPr>
        <w:t xml:space="preserve"> highlights three aspects, which she names waiting, hearing the world and respect. Several authors comment on the contrast between Westerners, who are mostly in such a hurry to get somewhere that they have mentally arrived even before they set out, wi</w:t>
      </w:r>
      <w:r>
        <w:rPr>
          <w:rFonts w:ascii="Century Gothic" w:hAnsi="Century Gothic"/>
          <w:sz w:val="22"/>
          <w:szCs w:val="22"/>
        </w:rPr>
        <w:t xml:space="preserve">th the Javanese, who surrender to the moment, opening them to receiving their environment and each other, so that things happen when all that is needed is ready.    </w:t>
      </w:r>
    </w:p>
    <w:p w:rsidR="009776C6" w:rsidRDefault="009776C6">
      <w:pPr>
        <w:jc w:val="left"/>
        <w:rPr>
          <w:rFonts w:ascii="Century Gothic" w:hAnsi="Century Gothic"/>
          <w:sz w:val="22"/>
          <w:szCs w:val="22"/>
        </w:rPr>
      </w:pPr>
    </w:p>
    <w:p w:rsidR="009776C6" w:rsidRDefault="00D7503E">
      <w:pPr>
        <w:jc w:val="left"/>
        <w:rPr>
          <w:rFonts w:ascii="Century Gothic" w:hAnsi="Century Gothic"/>
          <w:sz w:val="22"/>
          <w:szCs w:val="22"/>
        </w:rPr>
      </w:pPr>
      <w:r>
        <w:rPr>
          <w:rFonts w:ascii="Century Gothic" w:hAnsi="Century Gothic"/>
          <w:sz w:val="22"/>
          <w:szCs w:val="22"/>
        </w:rPr>
        <w:t xml:space="preserve">Let me tempt you with a few more </w:t>
      </w:r>
      <w:proofErr w:type="spellStart"/>
      <w:r>
        <w:rPr>
          <w:rFonts w:ascii="Century Gothic" w:hAnsi="Century Gothic"/>
          <w:sz w:val="22"/>
          <w:szCs w:val="22"/>
        </w:rPr>
        <w:t>flavours</w:t>
      </w:r>
      <w:proofErr w:type="spellEnd"/>
      <w:r>
        <w:rPr>
          <w:rFonts w:ascii="Century Gothic" w:hAnsi="Century Gothic"/>
          <w:sz w:val="22"/>
          <w:szCs w:val="22"/>
        </w:rPr>
        <w:t xml:space="preserve">. One of the strongest, mentioned </w:t>
      </w:r>
      <w:proofErr w:type="gramStart"/>
      <w:r>
        <w:rPr>
          <w:rFonts w:ascii="Century Gothic" w:hAnsi="Century Gothic"/>
          <w:sz w:val="22"/>
          <w:szCs w:val="22"/>
        </w:rPr>
        <w:t>by  several</w:t>
      </w:r>
      <w:proofErr w:type="gramEnd"/>
      <w:r>
        <w:rPr>
          <w:rFonts w:ascii="Century Gothic" w:hAnsi="Century Gothic"/>
          <w:sz w:val="22"/>
          <w:szCs w:val="22"/>
        </w:rPr>
        <w:t xml:space="preserve"> co</w:t>
      </w:r>
      <w:r>
        <w:rPr>
          <w:rFonts w:ascii="Century Gothic" w:hAnsi="Century Gothic"/>
          <w:sz w:val="22"/>
          <w:szCs w:val="22"/>
        </w:rPr>
        <w:t xml:space="preserve">ntributors, is how, wordlessly, </w:t>
      </w:r>
      <w:proofErr w:type="spellStart"/>
      <w:r>
        <w:rPr>
          <w:rFonts w:ascii="Century Gothic" w:hAnsi="Century Gothic"/>
          <w:sz w:val="22"/>
          <w:szCs w:val="22"/>
        </w:rPr>
        <w:t>Prapto</w:t>
      </w:r>
      <w:proofErr w:type="spellEnd"/>
      <w:r>
        <w:rPr>
          <w:rFonts w:ascii="Century Gothic" w:hAnsi="Century Gothic"/>
          <w:sz w:val="22"/>
          <w:szCs w:val="22"/>
        </w:rPr>
        <w:t xml:space="preserve"> senses what each person needs and then creates the appropriate space for them to explore this need. This </w:t>
      </w:r>
      <w:r>
        <w:rPr>
          <w:rFonts w:ascii="Century Gothic" w:hAnsi="Century Gothic"/>
          <w:sz w:val="22"/>
          <w:szCs w:val="22"/>
        </w:rPr>
        <w:lastRenderedPageBreak/>
        <w:t>ability, refined through years of practice, chimes for me with how we aspire to enable rather than direct or ins</w:t>
      </w:r>
      <w:r>
        <w:rPr>
          <w:rFonts w:ascii="Century Gothic" w:hAnsi="Century Gothic"/>
          <w:sz w:val="22"/>
          <w:szCs w:val="22"/>
        </w:rPr>
        <w:t xml:space="preserve">truct when facilitating constellations. Then, permeating many chapters, is the way the </w:t>
      </w:r>
      <w:proofErr w:type="spellStart"/>
      <w:r>
        <w:rPr>
          <w:rFonts w:ascii="Century Gothic" w:hAnsi="Century Gothic"/>
          <w:sz w:val="22"/>
          <w:szCs w:val="22"/>
        </w:rPr>
        <w:t>Amerta</w:t>
      </w:r>
      <w:proofErr w:type="spellEnd"/>
      <w:r>
        <w:rPr>
          <w:rFonts w:ascii="Century Gothic" w:hAnsi="Century Gothic"/>
          <w:sz w:val="22"/>
          <w:szCs w:val="22"/>
        </w:rPr>
        <w:t xml:space="preserve"> practice is embedded in the environment, expanding individual consciousness and strengthening awareness of the field in which we are all embedded. Inevitably this</w:t>
      </w:r>
      <w:r>
        <w:rPr>
          <w:rFonts w:ascii="Century Gothic" w:hAnsi="Century Gothic"/>
          <w:sz w:val="22"/>
          <w:szCs w:val="22"/>
        </w:rPr>
        <w:t xml:space="preserve"> leads to the development of </w:t>
      </w:r>
      <w:r>
        <w:rPr>
          <w:rFonts w:ascii="Century Gothic" w:hAnsi="Century Gothic"/>
          <w:i/>
          <w:sz w:val="22"/>
          <w:szCs w:val="22"/>
        </w:rPr>
        <w:t>presence</w:t>
      </w:r>
      <w:r>
        <w:rPr>
          <w:rFonts w:ascii="Century Gothic" w:hAnsi="Century Gothic"/>
          <w:sz w:val="22"/>
          <w:szCs w:val="22"/>
        </w:rPr>
        <w:t xml:space="preserve">: deepening the experience of how we are in a particular environment. Margit </w:t>
      </w:r>
      <w:proofErr w:type="spellStart"/>
      <w:r>
        <w:rPr>
          <w:rFonts w:ascii="Century Gothic" w:hAnsi="Century Gothic"/>
          <w:sz w:val="22"/>
          <w:szCs w:val="22"/>
        </w:rPr>
        <w:t>Galanter</w:t>
      </w:r>
      <w:proofErr w:type="spellEnd"/>
      <w:r>
        <w:rPr>
          <w:rFonts w:ascii="Century Gothic" w:hAnsi="Century Gothic"/>
          <w:sz w:val="22"/>
          <w:szCs w:val="22"/>
        </w:rPr>
        <w:t xml:space="preserve"> discovered that this is a dynamic process of </w:t>
      </w:r>
      <w:proofErr w:type="spellStart"/>
      <w:r>
        <w:rPr>
          <w:rFonts w:ascii="Century Gothic" w:hAnsi="Century Gothic"/>
          <w:sz w:val="22"/>
          <w:szCs w:val="22"/>
        </w:rPr>
        <w:t>presencing</w:t>
      </w:r>
      <w:proofErr w:type="spellEnd"/>
      <w:r>
        <w:rPr>
          <w:rFonts w:ascii="Century Gothic" w:hAnsi="Century Gothic"/>
          <w:sz w:val="22"/>
          <w:szCs w:val="22"/>
        </w:rPr>
        <w:t>: rather than something to have or achieve, presence subtly shifts as we respo</w:t>
      </w:r>
      <w:r>
        <w:rPr>
          <w:rFonts w:ascii="Century Gothic" w:hAnsi="Century Gothic"/>
          <w:sz w:val="22"/>
          <w:szCs w:val="22"/>
        </w:rPr>
        <w:t xml:space="preserve">nd to changes within and around us. Over years of practice, </w:t>
      </w:r>
      <w:proofErr w:type="spellStart"/>
      <w:r>
        <w:rPr>
          <w:rFonts w:ascii="Century Gothic" w:hAnsi="Century Gothic"/>
          <w:sz w:val="22"/>
          <w:szCs w:val="22"/>
        </w:rPr>
        <w:t>Amerta</w:t>
      </w:r>
      <w:proofErr w:type="spellEnd"/>
      <w:r>
        <w:rPr>
          <w:rFonts w:ascii="Century Gothic" w:hAnsi="Century Gothic"/>
          <w:sz w:val="22"/>
          <w:szCs w:val="22"/>
        </w:rPr>
        <w:t xml:space="preserve"> has refined her awareness that </w:t>
      </w:r>
      <w:proofErr w:type="spellStart"/>
      <w:r>
        <w:rPr>
          <w:rFonts w:ascii="Century Gothic" w:hAnsi="Century Gothic"/>
          <w:sz w:val="22"/>
          <w:szCs w:val="22"/>
        </w:rPr>
        <w:t>presencing</w:t>
      </w:r>
      <w:proofErr w:type="spellEnd"/>
      <w:r>
        <w:rPr>
          <w:rFonts w:ascii="Century Gothic" w:hAnsi="Century Gothic"/>
          <w:sz w:val="22"/>
          <w:szCs w:val="22"/>
        </w:rPr>
        <w:t xml:space="preserve"> has a range of qualities. Staying </w:t>
      </w:r>
      <w:r>
        <w:rPr>
          <w:rFonts w:ascii="Century Gothic" w:hAnsi="Century Gothic"/>
          <w:i/>
          <w:sz w:val="22"/>
          <w:szCs w:val="22"/>
        </w:rPr>
        <w:t>in relation</w:t>
      </w:r>
      <w:r>
        <w:rPr>
          <w:rFonts w:ascii="Century Gothic" w:hAnsi="Century Gothic"/>
          <w:sz w:val="22"/>
          <w:szCs w:val="22"/>
        </w:rPr>
        <w:t xml:space="preserve"> is another important facet of the work: to ourselves, to each other, to constants in the landscape. </w:t>
      </w:r>
      <w:proofErr w:type="spellStart"/>
      <w:r>
        <w:rPr>
          <w:rFonts w:ascii="Century Gothic" w:hAnsi="Century Gothic"/>
          <w:sz w:val="22"/>
          <w:szCs w:val="22"/>
        </w:rPr>
        <w:t>A</w:t>
      </w:r>
      <w:r>
        <w:rPr>
          <w:rFonts w:ascii="Century Gothic" w:hAnsi="Century Gothic"/>
          <w:sz w:val="22"/>
          <w:szCs w:val="22"/>
        </w:rPr>
        <w:t>merta</w:t>
      </w:r>
      <w:proofErr w:type="spellEnd"/>
      <w:r>
        <w:rPr>
          <w:rFonts w:ascii="Century Gothic" w:hAnsi="Century Gothic"/>
          <w:sz w:val="22"/>
          <w:szCs w:val="22"/>
        </w:rPr>
        <w:t xml:space="preserve"> practice also promotes </w:t>
      </w:r>
      <w:r>
        <w:rPr>
          <w:rFonts w:ascii="Century Gothic" w:hAnsi="Century Gothic"/>
          <w:i/>
          <w:sz w:val="22"/>
          <w:szCs w:val="22"/>
        </w:rPr>
        <w:t>allowing</w:t>
      </w:r>
      <w:r>
        <w:rPr>
          <w:rFonts w:ascii="Century Gothic" w:hAnsi="Century Gothic"/>
          <w:sz w:val="22"/>
          <w:szCs w:val="22"/>
        </w:rPr>
        <w:t xml:space="preserve">, leading to the recognition that </w:t>
      </w:r>
      <w:r>
        <w:rPr>
          <w:rFonts w:ascii="Century Gothic" w:hAnsi="Century Gothic"/>
          <w:i/>
          <w:sz w:val="22"/>
          <w:szCs w:val="22"/>
        </w:rPr>
        <w:t>acceptance</w:t>
      </w:r>
      <w:r>
        <w:rPr>
          <w:rFonts w:ascii="Century Gothic" w:hAnsi="Century Gothic"/>
          <w:sz w:val="22"/>
          <w:szCs w:val="22"/>
        </w:rPr>
        <w:t xml:space="preserve"> is a process, a happening, something that cannot be ‘done’ but can be prepared for. </w:t>
      </w:r>
    </w:p>
    <w:p w:rsidR="009776C6" w:rsidRDefault="00D7503E">
      <w:pPr>
        <w:jc w:val="left"/>
        <w:rPr>
          <w:rFonts w:ascii="Century Gothic" w:hAnsi="Century Gothic"/>
          <w:sz w:val="22"/>
          <w:szCs w:val="22"/>
        </w:rPr>
      </w:pPr>
      <w:r>
        <w:rPr>
          <w:rFonts w:ascii="Century Gothic" w:hAnsi="Century Gothic"/>
          <w:sz w:val="22"/>
          <w:szCs w:val="22"/>
        </w:rPr>
        <w:t xml:space="preserve"> </w:t>
      </w:r>
    </w:p>
    <w:p w:rsidR="009776C6" w:rsidRDefault="00D7503E">
      <w:pPr>
        <w:jc w:val="left"/>
      </w:pPr>
      <w:r>
        <w:rPr>
          <w:rFonts w:ascii="Century Gothic" w:hAnsi="Century Gothic"/>
          <w:sz w:val="22"/>
          <w:szCs w:val="22"/>
        </w:rPr>
        <w:t xml:space="preserve">One contributor describes </w:t>
      </w:r>
      <w:proofErr w:type="spellStart"/>
      <w:r>
        <w:rPr>
          <w:rFonts w:ascii="Century Gothic" w:hAnsi="Century Gothic"/>
          <w:sz w:val="22"/>
          <w:szCs w:val="22"/>
        </w:rPr>
        <w:t>Amerta</w:t>
      </w:r>
      <w:proofErr w:type="spellEnd"/>
      <w:r>
        <w:rPr>
          <w:rFonts w:ascii="Century Gothic" w:hAnsi="Century Gothic"/>
          <w:sz w:val="22"/>
          <w:szCs w:val="22"/>
        </w:rPr>
        <w:t xml:space="preserve"> as “amazing yet simple”; another writes “its coherence is astounding, pervasive, and elusive, like mist or the movement of </w:t>
      </w:r>
      <w:r>
        <w:rPr>
          <w:rFonts w:ascii="Century Gothic" w:hAnsi="Century Gothic"/>
          <w:i/>
          <w:sz w:val="22"/>
          <w:szCs w:val="22"/>
        </w:rPr>
        <w:t>qi</w:t>
      </w:r>
      <w:r>
        <w:rPr>
          <w:rFonts w:ascii="Century Gothic" w:hAnsi="Century Gothic"/>
          <w:sz w:val="22"/>
          <w:szCs w:val="22"/>
        </w:rPr>
        <w:t xml:space="preserve"> … to express a simple practice was to open into a mosaic of possibilities”. Even if I haven’t per</w:t>
      </w:r>
      <w:r>
        <w:rPr>
          <w:rFonts w:ascii="Century Gothic" w:hAnsi="Century Gothic"/>
          <w:sz w:val="22"/>
          <w:szCs w:val="22"/>
        </w:rPr>
        <w:t xml:space="preserve">suaded you to jump on the next plane to Java and seek out </w:t>
      </w:r>
      <w:proofErr w:type="spellStart"/>
      <w:r>
        <w:rPr>
          <w:rFonts w:ascii="Century Gothic" w:hAnsi="Century Gothic"/>
          <w:sz w:val="22"/>
          <w:szCs w:val="22"/>
        </w:rPr>
        <w:t>Prapto</w:t>
      </w:r>
      <w:proofErr w:type="spellEnd"/>
      <w:r>
        <w:rPr>
          <w:rFonts w:ascii="Century Gothic" w:hAnsi="Century Gothic"/>
          <w:sz w:val="22"/>
          <w:szCs w:val="22"/>
        </w:rPr>
        <w:t xml:space="preserve"> (I must say I’m tempted!), do read this book: it will enrich your life and, I hope, your work with constellations.</w:t>
      </w:r>
      <w:bookmarkEnd w:id="0"/>
    </w:p>
    <w:sectPr w:rsidR="009776C6">
      <w:endnotePr>
        <w:numFmt w:val="decimal"/>
      </w:endnotePr>
      <w:pgSz w:w="11906" w:h="16838" w:orient="landscape"/>
      <w:pgMar w:top="1134" w:right="1701" w:bottom="850" w:left="1701"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03E" w:rsidRDefault="00D7503E">
      <w:r>
        <w:separator/>
      </w:r>
    </w:p>
  </w:endnote>
  <w:endnote w:type="continuationSeparator" w:id="0">
    <w:p w:rsidR="00D7503E" w:rsidRDefault="00D7503E">
      <w:r>
        <w:continuationSeparator/>
      </w:r>
    </w:p>
  </w:endnote>
  <w:endnote w:id="1">
    <w:p w:rsidR="009776C6" w:rsidRDefault="00D7503E">
      <w:pPr>
        <w:pStyle w:val="EndnoteText"/>
      </w:pPr>
      <w:r>
        <w:rPr>
          <w:rStyle w:val="EndnoteCharacters"/>
        </w:rPr>
        <w:endnoteRef/>
      </w:r>
      <w:r>
        <w:rPr>
          <w:rStyle w:val="EndnoteCharacters"/>
          <w:rFonts w:ascii="Century Gothic" w:hAnsi="Century Gothic"/>
          <w:sz w:val="22"/>
          <w:szCs w:val="22"/>
        </w:rPr>
        <w:tab/>
      </w:r>
      <w:r>
        <w:rPr>
          <w:rFonts w:ascii="Century Gothic" w:hAnsi="Century Gothic"/>
          <w:sz w:val="22"/>
          <w:szCs w:val="22"/>
        </w:rPr>
        <w:t xml:space="preserve"> </w:t>
      </w:r>
      <w:proofErr w:type="spellStart"/>
      <w:r>
        <w:rPr>
          <w:rFonts w:ascii="Century Gothic" w:hAnsi="Century Gothic"/>
          <w:sz w:val="22"/>
          <w:szCs w:val="22"/>
        </w:rPr>
        <w:t>Avebury</w:t>
      </w:r>
      <w:proofErr w:type="spellEnd"/>
      <w:r>
        <w:rPr>
          <w:rFonts w:ascii="Century Gothic" w:hAnsi="Century Gothic"/>
          <w:sz w:val="22"/>
          <w:szCs w:val="22"/>
        </w:rPr>
        <w:t xml:space="preserve"> is a prehistoric stone circle in Wiltshire, UK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03E" w:rsidRDefault="00D7503E">
      <w:r>
        <w:separator/>
      </w:r>
    </w:p>
  </w:footnote>
  <w:footnote w:type="continuationSeparator" w:id="0">
    <w:p w:rsidR="00D7503E" w:rsidRDefault="00D75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C6"/>
    <w:rsid w:val="003E6D4C"/>
    <w:rsid w:val="009776C6"/>
    <w:rsid w:val="00D7503E"/>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D018F-F0E3-4238-9BB5-D2F3DA9D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Batang" w:hAns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ttribute0">
    <w:name w:val="CharAttribute0"/>
    <w:qFormat/>
    <w:rPr>
      <w:rFonts w:ascii="Times New Roman" w:eastAsia="Times New Roman" w:hAnsi="Times New Roman"/>
      <w:sz w:val="28"/>
    </w:rPr>
  </w:style>
  <w:style w:type="character" w:customStyle="1" w:styleId="CharAttribute1">
    <w:name w:val="CharAttribute1"/>
    <w:qFormat/>
    <w:rPr>
      <w:rFonts w:ascii="Times New Roman" w:eastAsia="Times New Roman" w:hAnsi="Times New Roman"/>
      <w:b/>
      <w:sz w:val="28"/>
    </w:rPr>
  </w:style>
  <w:style w:type="character" w:customStyle="1" w:styleId="CharAttribute2">
    <w:name w:val="CharAttribute2"/>
    <w:qFormat/>
    <w:rPr>
      <w:rFonts w:ascii="Times New Roman" w:eastAsia="Times New Roman" w:hAnsi="Times New Roman"/>
      <w:sz w:val="24"/>
    </w:rPr>
  </w:style>
  <w:style w:type="character" w:customStyle="1" w:styleId="CharAttribute3">
    <w:name w:val="CharAttribute3"/>
    <w:qFormat/>
    <w:rPr>
      <w:rFonts w:ascii="Times New Roman" w:eastAsia="Times New Roman" w:hAnsi="Times New Roman"/>
      <w:b/>
      <w:sz w:val="24"/>
    </w:rPr>
  </w:style>
  <w:style w:type="character" w:customStyle="1" w:styleId="CharAttribute4">
    <w:name w:val="CharAttribute4"/>
    <w:qFormat/>
    <w:rPr>
      <w:rFonts w:ascii="Verdana" w:eastAsia="Verdana" w:hAnsi="Verdana"/>
      <w:sz w:val="24"/>
    </w:rPr>
  </w:style>
  <w:style w:type="character" w:customStyle="1" w:styleId="CharAttribute5">
    <w:name w:val="CharAttribute5"/>
    <w:qFormat/>
    <w:rPr>
      <w:rFonts w:ascii="Verdana" w:eastAsia="Verdana" w:hAnsi="Verdana"/>
      <w:b/>
      <w:sz w:val="24"/>
    </w:rPr>
  </w:style>
  <w:style w:type="character" w:customStyle="1" w:styleId="CharAttribute6">
    <w:name w:val="CharAttribute6"/>
    <w:qFormat/>
    <w:rPr>
      <w:rFonts w:ascii="Verdana" w:eastAsia="Verdana" w:hAnsi="Verdana"/>
      <w:b/>
      <w:i/>
      <w:sz w:val="24"/>
    </w:rPr>
  </w:style>
  <w:style w:type="character" w:customStyle="1" w:styleId="CharAttribute7">
    <w:name w:val="CharAttribute7"/>
    <w:qFormat/>
    <w:rPr>
      <w:rFonts w:ascii="Verdana" w:eastAsia="Verdana" w:hAnsi="Verdana"/>
      <w:i/>
      <w:sz w:val="24"/>
    </w:rPr>
  </w:style>
  <w:style w:type="character" w:customStyle="1" w:styleId="CharAttribute8">
    <w:name w:val="CharAttribute8"/>
    <w:qFormat/>
    <w:rPr>
      <w:rFonts w:ascii="Verdana" w:eastAsia="Verdana" w:hAnsi="Verdana"/>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CharAttribute9">
    <w:name w:val="CharAttribute9"/>
    <w:qFormat/>
    <w:rPr>
      <w:rFonts w:ascii="Verdana" w:eastAsia="Verdana" w:hAnsi="Verdana"/>
      <w:sz w:val="24"/>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EndnoteTextChar">
    <w:name w:val="Endnote Text Char"/>
    <w:basedOn w:val="DefaultParagraphFont"/>
    <w:link w:val="EndnoteText"/>
    <w:uiPriority w:val="99"/>
    <w:qFormat/>
    <w:rsid w:val="00BE3A8F"/>
    <w:rPr>
      <w:rFonts w:ascii="Batang" w:hAnsi="Batang"/>
      <w:kern w:val="2"/>
      <w:sz w:val="24"/>
      <w:szCs w:val="24"/>
      <w:lang w:eastAsia="ko-KR"/>
    </w:rPr>
  </w:style>
  <w:style w:type="character" w:customStyle="1" w:styleId="EndnoteCharacters">
    <w:name w:val="Endnote Characters"/>
    <w:basedOn w:val="DefaultParagraphFont"/>
    <w:uiPriority w:val="99"/>
    <w:unhideWhenUsed/>
    <w:qFormat/>
    <w:rsid w:val="00BE3A8F"/>
    <w:rPr>
      <w:vertAlign w:val="superscript"/>
    </w:rPr>
  </w:style>
  <w:style w:type="character" w:customStyle="1" w:styleId="EndnoteAnchor">
    <w:name w:val="Endnote Anchor"/>
    <w:rPr>
      <w:vertAlign w:val="superscript"/>
    </w:rPr>
  </w:style>
  <w:style w:type="character" w:customStyle="1" w:styleId="InternetLink">
    <w:name w:val="Internet Link"/>
    <w:basedOn w:val="DefaultParagraphFont"/>
    <w:uiPriority w:val="99"/>
    <w:unhideWhenUsed/>
    <w:rsid w:val="0001451A"/>
    <w:rPr>
      <w:color w:val="0000FF" w:themeColor="hyperlink"/>
      <w:u w:val="single"/>
    </w:rPr>
  </w:style>
  <w:style w:type="character" w:customStyle="1" w:styleId="FootnoteAnchor">
    <w:name w:val="Footnote Anchor"/>
    <w:rPr>
      <w:vertAlign w:val="superscript"/>
    </w:rPr>
  </w:style>
  <w:style w:type="character" w:customStyle="1" w:styleId="FootnoteCharacters">
    <w:name w:val="Foot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ParaAttribute0">
    <w:name w:val="ParaAttribute0"/>
    <w:qFormat/>
    <w:pPr>
      <w:widowControl w:val="0"/>
    </w:pPr>
  </w:style>
  <w:style w:type="paragraph" w:customStyle="1" w:styleId="ParaAttribute1">
    <w:name w:val="ParaAttribute1"/>
    <w:qFormat/>
    <w:pPr>
      <w:widowControl w:val="0"/>
    </w:pPr>
  </w:style>
  <w:style w:type="paragraph" w:styleId="EndnoteText">
    <w:name w:val="endnote text"/>
    <w:basedOn w:val="Normal"/>
    <w:link w:val="EndnoteTextChar"/>
    <w:uiPriority w:val="99"/>
    <w:unhideWhenUsed/>
    <w:rsid w:val="00BE3A8F"/>
    <w:rPr>
      <w:sz w:val="24"/>
      <w:szCs w:val="24"/>
    </w:rPr>
  </w:style>
  <w:style w:type="paragraph" w:styleId="FootnoteText">
    <w:name w:val="footnote text"/>
    <w:basedOn w:val="Normal"/>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1315</Words>
  <Characters>6904</Characters>
  <Application>Microsoft Office Word</Application>
  <DocSecurity>0</DocSecurity>
  <Lines>172</Lines>
  <Paragraphs>144</Paragraphs>
  <ScaleCrop>false</ScaleCrop>
  <HeadingPairs>
    <vt:vector size="2" baseType="variant">
      <vt:variant>
        <vt:lpstr>Title</vt:lpstr>
      </vt:variant>
      <vt:variant>
        <vt:i4>1</vt:i4>
      </vt:variant>
    </vt:vector>
  </HeadingPairs>
  <TitlesOfParts>
    <vt:vector size="1" baseType="lpstr">
      <vt:lpstr>docx</vt:lpstr>
    </vt:vector>
  </TitlesOfParts>
  <Company>INFRAWARE, Inc.</Company>
  <LinksUpToDate>false</LinksUpToDate>
  <CharactersWithSpaces>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
  <dc:creator>User</dc:creator>
  <dc:description/>
  <cp:lastModifiedBy>Andrew Carey</cp:lastModifiedBy>
  <cp:revision>2</cp:revision>
  <dcterms:created xsi:type="dcterms:W3CDTF">2018-07-11T09:49:00Z</dcterms:created>
  <dcterms:modified xsi:type="dcterms:W3CDTF">2018-07-11T09:49:00Z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INFRAWARE,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MClips">
    <vt:i4>0</vt:i4>
  </property>
  <property fmtid="{D5CDD505-2E9C-101B-9397-08002B2CF9AE}" pid="8" name="ScaleCrop">
    <vt:bool>false</vt:bool>
  </property>
  <property fmtid="{D5CDD505-2E9C-101B-9397-08002B2CF9AE}" pid="9" name="ShareDoc">
    <vt:bool>false</vt:bool>
  </property>
  <property fmtid="{D5CDD505-2E9C-101B-9397-08002B2CF9AE}" pid="10" name="version">
    <vt:lpwstr>1</vt:lpwstr>
  </property>
</Properties>
</file>